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551d42b79b497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19409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EKONOMSKA ŠKOLA SISAK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1.076.097,16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1.132.687,99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1.004.069,82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1.311.293,60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178.605,61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11.434,98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5.444,40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11.434,98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5.444,40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184.050,01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t xml:space="preserve">Naziv obveznika: EKONOMSKA ŠKOLA SISAK</w:t>
      </w:r>
    </w:p>
    <w:p>
      <w:r>
        <w:t xml:space="preserve">Poštanski broj i mjesto: 44000 SISAK</w:t>
      </w:r>
    </w:p>
    <w:p>
      <w:r>
        <w:t xml:space="preserve">Adresa sjedišta: Kralja Tomislava 19, Sisak </w:t>
      </w:r>
    </w:p>
    <w:p>
      <w:r>
        <w:t xml:space="preserve">Šifra županije,grada: 391</w:t>
      </w:r>
    </w:p>
    <w:p>
      <w:r>
        <w:t xml:space="preserve">Broj RKP: 19409</w:t>
      </w:r>
    </w:p>
    <w:p>
      <w:r>
        <w:t xml:space="preserve">Matični broj: 03957802</w:t>
      </w:r>
    </w:p>
    <w:p>
      <w:r>
        <w:t xml:space="preserve">OIB: 98330866966</w:t>
      </w:r>
    </w:p>
    <w:p>
      <w:r>
        <w:t xml:space="preserve">Razina: 31</w:t>
      </w:r>
    </w:p>
    <w:p>
      <w:r>
        <w:t xml:space="preserve">Razdjel: 000</w:t>
      </w:r>
    </w:p>
    <w:p>
      <w:r>
        <w:t xml:space="preserve">Šifra djelatnosti: 8532</w:t>
      </w:r>
    </w:p>
    <w:p>
      <w:r>
        <w:t xml:space="preserve">Oznaka razdoblja: 01.01.2025.-31.12.2025.</w:t>
      </w:r>
    </w:p>
    <w:p>
      <w:r>
        <w:t xml:space="preserve">                                  </w:t>
      </w:r>
    </w:p>
    <w:p>
      <w:r>
        <w:t xml:space="preserve">Klasa:  400-04/26-01/01</w:t>
      </w:r>
    </w:p>
    <w:p>
      <w:r>
        <w:t xml:space="preserve">Ur.br.: 2176-53-01-26-2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BILJEŠKE UZ FINANCIJSKE IZVJEŠTAJE</w:t>
      </w:r>
    </w:p>
    <w:p>
      <w:pPr>
        <w:jc w:val="center"/>
      </w:pPr>
      <w:r>
        <w:t xml:space="preserve">ZA RAZDOBLJE</w:t>
      </w:r>
    </w:p>
    <w:p>
      <w:pPr>
        <w:jc w:val="center"/>
      </w:pPr>
      <w:r>
        <w:t xml:space="preserve">I - IX 2025.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t xml:space="preserve">Ekonomska škola Sisak 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>
      <w:r>
        <w:t xml:space="preserve"> </w:t>
      </w:r>
    </w:p>
    <w:p>
      <w:r>
        <w:t xml:space="preserve">Godišnji financijski izvještaji Ekonomske škole Sisak sastavljeni su nakon što su proknjižene sve poslovne promjene i događaji za razdoblje od 1.1.2025. do 31.12.2025. na temelju vjerodostojne knjigovodstvene dokumentacije te prema propisanom računskom planu i u skladu s financijskim planom odobrenim od nadležnih tijela.</w:t>
      </w:r>
    </w:p>
    <w:p>
      <w:r>
        <w:t xml:space="preserve"> </w:t>
      </w:r>
    </w:p>
    <w:p>
      <w:r>
        <w:t xml:space="preserve">Za predaju i sastavljanje godišnjih financijskih izvještaja korišteni su elektronski obrasci koji su preuzeti sa platforme RKPFI.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918.474,74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982.627,72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-          Prihodi knjiženi na konto 636 u odnosu na 2024. godinu su povećani za 7,00% i iznose 982.627,72 EUR. Porasli su zbog uplata Ministarstva za troškove plaće i materijalna prava djelatnika koja su veća u odnosu na prethodnu godinu zbog povećanja osnovice, koeficijenata i samog iznosa materijalnih prava.</w:t>
      </w:r>
    </w:p>
    <w:p>
      <w:pPr>
        <w:jc w:val="both"/>
      </w:pPr>
      <w:r>
        <w:t xml:space="preserve">-          Konto 6361 uključuje i tekuće pomoći za županijska stručna vijeća, pomoć za besplatne udžbenike i pomoć za higijenske potrepštine učenica.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67.139,20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Temeljem "Ugovora 2025-1-HR01-KA121-VET-000314153" OID: E10172236 o provedbi projekta Erasmus+, Ekonomskoj školi Sisak uplaćen je tijekom izvještajnog razdoblja od strane Agencije za mobilnost i programe Europske unije 80% maksimalno dodijeljenog iznosa bespovratnih sredstava koji za provedbu navedenog projekta iznosi 94.638,00 €.</w:t>
      </w:r>
    </w:p>
    <w:p>
      <w:pPr>
        <w:jc w:val="both"/>
      </w:pPr>
      <w:r>
        <w:t xml:space="preserve">Na temelju Uputa za računovodstveno evidentiranje sredstava Europske unije KLASA:910-04/25-01/8, URBROJ: 513-05-05-25-2 iz svibnja 2025. godine, te Dopuna Uputa za računovodstveno evidentiranje sredstva Europske unije u poglavlju 3.3.3. KLASA: 910-04/25-01/8, URBROJ: 513-17-01-26-6 od 15. siječna 2026. Provedena je promjena u knjigovodstvenim evidencijama potraživanja i obračunatih prihoda. Prihodi s konta 638, knjiženi su u korist konta 275210 Obveza za EU predujmove dane iz državnog proračuna – Erasmus +. Na ovaj način želi se postići realnije iskazivanje rezultata poslovanja i neutralizirati utjecaj primljenih sredstva od projekta na rezultat poslovanja.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47,4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Ostvareni prihodi od financijske imovine odnose se na pripis kamata banke te bilježe smanjenje u izvještajnom razdoblju tekuće godine u odnosu na ostvareno u izvještajnom razdoblju prethodne godine zbog prelaska u sustav riznice SMŽ od 1. srpnja 2025. i zatvaranja žiro-računa u poslovnoj banci.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92,7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Ostvaren prihod u iznosu 179,44 € odnosi se na prihod od izrade duplikata svjedodžbi te je isti ostvaren u  nešto manjem iznosu u izvještajnom razdoblju tekuće godine, u odnosu na ostvareno u izvještajnom razdoblju prethodne godine. Navedeni iznosi ovise o broju zahtjeva stranaka za izradu duplikata svjedodžbi u razdoblju za koje se izvješće podnosi.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89.539,20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149.400,65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166,9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Ostvaren iznos prihoda iz nadležnog proračuna u izvještajnom razdoblju u odnosu na ostvareno u izvještajnom razdoblju prethodne godine bilježi znatno povećanje iz nekoliko razdoga:</w:t>
      </w:r>
    </w:p>
    <w:p>
      <w:pPr>
        <w:jc w:val="both"/>
      </w:pPr>
      <w:r>
        <w:t xml:space="preserve">- financiranja športske dvorane za odvijanje nastave tjelesne i zdravstvene kulture učenika Ekonomske škole Sisak koja je zbog posljedica potresa ostala bez prostora i svoju djelastnost obavlja u prostoru osiguranom od strane osnivača SMŽ,</w:t>
      </w:r>
    </w:p>
    <w:p>
      <w:pPr>
        <w:jc w:val="both"/>
      </w:pPr>
      <w:r>
        <w:t xml:space="preserve">- financiranja najma prostora za odvijanje redovnog nastavnog procesa u prostoru SSŠ Kotva Sisak, razlog, zbog posljedica potresa ostali smo bez prostora za odvijanje djelatnosti, - financiranja rashoda za pomoćnika u nastavi u šk. god.2025./2026.</w:t>
      </w:r>
    </w:p>
    <w:p>
      <w:pPr>
        <w:jc w:val="both"/>
      </w:pPr>
      <w:r>
        <w:t xml:space="preserve">- sufinanciranja 20% ukupno odobrenih sredstava za provedbu Erasmus+ projekta br. 2024-1-HR01-KA122-VET-000222492 temeljem Ugovora o sufinanciranju zaključenog između Sisačko-moslavačke županije i Ekonomske škole Sisak, a zbog ostvarenja svih projektnih i ugovornih obveza u provedbi projekta,</w:t>
      </w:r>
    </w:p>
    <w:p>
      <w:pPr>
        <w:jc w:val="both"/>
      </w:pPr>
      <w:r>
        <w:t xml:space="preserve">- financiranja povećanih troškova vezanih uz računalne usluge koji su porasli  zbog ulaska u sustav Riznice SMŽ i potrebe za uvođenjem novog jedinstvenog računovodstvenog programa za sve proračunske korisnike u SMŽ.</w:t>
      </w:r>
    </w:p>
    <w:p>
      <w:pPr>
        <w:jc w:val="both"/>
      </w:pPr>
      <w:r>
        <w:t xml:space="preserve">također je došlo do porasta cijene rada po satu za pomoćnike u nastavi. Cijena rada sata iznosi 7,5 € bruto, dok je prije taj iznos bio 5,25 € po satu.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2.384,50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3.114,63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130,6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Tijekom izvještajnog razdoblja bilježimo povećanje prihoda u odnosu na ostvareno u razdoblju prethodne godine zbog financiranja rashoda za ugradnju portafona koji se morao ugraditi temeljem propisanih mjera sigurnosti u školama sukladno Protokolu o kontroli ulaska i izlaska u školskim ustanovama (Ministarstvo znanosti, obrazovanja i mladih od 2. veljače 2025. godine), iznos 1.561,50€, te financiranja implementacije računovodstvenog programa potrebnog zbog ulaska u sustav Riznice SMŽ, iznos 1.553,13 €.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89.916,80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206.693,78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229,9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Povećanje iznosa materijalnih rashoda ostvarenih u izvještajnom razdoblju tekuće godine u odnosu na ostvareno u izvještajnom razdoblju prethodne godine uzrokovano je povećanjem troškova zbog provedbe Erasmus+ programa br. 2024-1-HR01-KA12-VET-000222492, OID: E10172236 i Erasmus+ programa br. 2025-1-HR-01-K121-VET-000314153, OID: E10172236 za učenike Ekonomske škole Sisak, zbog plaćanja troškova najma športske dvorane za odvijanje nastave tjelesne i zdravstvene kulture i plaćanja troškova najma poslovnog prostora za odvijanje redovnog nastavnog procesa u SSŠ Kotva Sisak., povećanja troškova računovodstvenih usluga, mjesečni iznosi održavanja, zbog ulaska u sustav Riznice SMŽ, uvođenja računovodstvenog programa.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11.310,00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611,4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Iznos ostvaren u izvještajnom razdoblju odnosi se na individualne potpore nastavnicima prilikom odlaska u Njemačku i Švedsku tijekom provedbe Erasmus+ projekta 2024-1-HR01-KA122-VET-000222492 OID: E10172236 i Erasmus+ programa br. 2025-1-HR-01-K121-VET-000314153, OID: E10172236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458,19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830,11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181,2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Povećanje iznosa ostvarenog u izvještajnom razdoblju tekuće godine u odnosu na ostvareno u izvještajnom razdoblju prethodne godine dogodilo se zbog potrebe za kupnjom specijalne brave i materijala za ugradnju portafona i prilagodbe ulaznih vrata na zgradi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3.038,48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15.738,12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518,0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Ovi troškovi uključuje redovno troškove telefona, toškova dostave (prije svega udžbenika i knjiga), a u najvećoj mjeri uključuje troškove ostvarene prijevoza koji su utjecaji na povećanje istih u izvještajnom razdoblju u odnosu na ostvareno u izvještajnom razdoblju prethodne godine i to iz razloga: - pokriće troškova prijevoza učenika i nastavnika u Njemačku i Švedsku u svrhu provedbe Erasmus+ programa br. 2024-1-HR01-KA122-VET-000222492, OID:E10172236 u iznosu 7.330,19€ te pokriće troškova prijevoza učenika i nastavnika u Španjolsku i Sloveniju u svrhu provedbe Erasmus+ programa br. 2025-1-HR01-KA121-VET-000314153, OID:E10172236 u iznosu 6.091,02 €.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283,50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1.274,25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449,5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Povećanje troškova ostvarenih u izvještajnom razdoblju u odnosu na ostvareno u izvještajnom razdoblju prethodne godine odnosi se na troškove uluga ugradnje reflektora sa senzorom u zamračenom dijelu dvorišta Škole kroz koja prolaze djeca, usluge ugradnje portafona, radni sati te usluga servisa vatrogasnih aparata.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23.223,52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58.069,20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250,0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Povećanje iznosa troškova zakupnina i najamnina ostvarenog u izvještajnom razdoblju tekuće godine u odnosu na ostvareno u izvještajnom razdoblju prethodne godine odnosi se na troškove najma prostora u SSŠ Kotva Sisak, a zbog odvijanja redovnog nastavnog procesa. Navedeni trošak koji mjesečno iznosi 5.000,00 €, nismo plaćali u izvještajnom razdoblju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133,6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Trošak se odnosi na obavljen redovan sistematski pregled zaposlenika do 31.3. tekuće godine sukladno čl. 84 TKU za zaposlene u javnim službama. Prethodnih godina smo sistematske preglede organizirali krajem tekuće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5.848,14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5.371,46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91,8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Povećanje troškova računalnih usluga ostvarenih u izvještajnom razdoblju tekuće godine u odnosu na ostvareno u izvještajnom razdoblju prethodne godine odnose se na povećanje troškova održavanja i obuka zbog implementacije novog računovodstvenog programa SPI, tvrtke Libusoft Cicom d.o.o. Zagreb, potrebnog zbog uvošenja jedinstvenog sustava praćenja financijskog poslovanja svih škola u objedinjenoj glavnoj knjzi Sisačko-moslavačke županije te ulaska u sustav Riznice Sisačko-moslavačke županije od 1. srpnja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3.350,36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58.179,09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1736,5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Ostvaren iznos ostalih nespomenutih rashoda bilježi znatno povećanje troškova ostvarenih u izvještajnom razdoblju tekuće godine u odnosu na ostvareno u izvještajnom razdoblju prethodne godine. Troškovi su vezani uz realizaciju mobilnosti učenika Ekonomske škole Sisak Erasmus+ programa br. 2024-1-HR01-KA122- VET-000222492, OID:E10172236 –  troškovi organizacije smještaja i putnih osiguranja učenika i nastavnika u Njemačkoj i Švedskoj , te pokriće troškova za realizaciju mobilnosti učenika i nastavnika u Španjolsku i Sloveniju u svrhu provedbe Erasmus+ programa br. 2025-1-HR01-KA121-VET-000314153, OID:E10172236, ali I troškova reprezentacije vezane uz kupnju autohtonih proizvoda RH za poklone domaćinima.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26.150,00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Troškovi ostvareni u izvještajnom razdoblju tekuće godine odnose se na naknade građanima i kućanstvima iz EU sredstava, trošak za individualne potpore učenika Škole, vezani uz provedbu Erasmus+ programa br. 2024-1-HR01-KA122-VET-000222492, OID: E10172236, putovanje u Njemačku i Švedsku, te Erasmus+ programa br. 2025-1-HR01-KA121-VET-000314153, OID:E10172236 u Španjolsku i Sloveniju.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903,73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898,18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99,4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Iznos troškova tekućih donacija u naravi, ostvaren u izvještajnom razdoblju tekuće godine odnosi se na  higijenske potrepštine za učenice OŠ i SŠ.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11.909,28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12.125,18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101,8</w:t>
            </w:r>
          </w:p>
        </w:tc>
      </w:tr>
    </w:tbl>
    <w:p>
      <w:pPr>
        <w:spacing w:before="0" w:after="0"/>
      </w:pPr>
    </w:p>
    <w:p>
      <w:r>
        <w:t xml:space="preserve">Dana 02. srpnja 2025. godine Škola je zatvorila poslovni račun u OTP banci d.d., te prešla u sustav pune riznice.</w:t>
      </w:r>
    </w:p>
    <w:p>
      <w:r>
        <w:t xml:space="preserve">Prilikom prijenosa sredstva u programsko rješenje a prema izvorima provedeno je sljedeće kniženje:</w:t>
      </w:r>
    </w:p>
    <w:p>
      <w:r>
        <w:t xml:space="preserve"> </w:t>
      </w:r>
    </w:p>
    <w:tbl>
      <w:tblPr>
        <w:tblStyle w:val="TableGrid"/>
        <w:tblW w:w="5000" w:type="pct"/>
      </w:tblPr>
      <w:tblGrid>
        <w:gridCol w:w="4811"/>
        <w:gridCol w:w="4811"/>
      </w:tblGrid>
      <w:tr>
        <w:trPr/>
        <w:tc>
          <w:tcPr>
            <w:tcW w:w="2500" w:type="pct"/>
            <w:vAlign w:val="center"/>
          </w:tcPr>
          <w:p>
            <w:pPr>
              <w:keepNext/>
              <w:jc w:val="center"/>
            </w:pPr>
            <w:r>
              <w:t xml:space="preserve">izvor </w:t>
            </w:r>
          </w:p>
        </w:tc>
        <w:tc>
          <w:tcPr>
            <w:tcW w:w="2500" w:type="pct"/>
            <w:vAlign w:val="center"/>
          </w:tcPr>
          <w:p>
            <w:pPr>
              <w:keepNext/>
              <w:jc w:val="center"/>
            </w:pPr>
            <w:r>
              <w:t xml:space="preserve">iznos (eur)</w:t>
            </w:r>
          </w:p>
        </w:tc>
      </w:tr>
      <w:tr>
        <w:trPr/>
        <w:tc>
          <w:tcPr>
            <w:tcW w:w="2500" w:type="pct"/>
            <w:vAlign w:val="center"/>
          </w:tcPr>
          <w:p>
            <w:pPr>
              <w:keepNext/>
              <w:jc w:val="center"/>
            </w:pPr>
            <w:r>
              <w:t xml:space="preserve">3.1.1.</w:t>
            </w:r>
          </w:p>
        </w:tc>
        <w:tc>
          <w:tcPr>
            <w:tcW w:w="2500" w:type="pct"/>
            <w:vAlign w:val="center"/>
          </w:tcPr>
          <w:p>
            <w:pPr>
              <w:keepNext/>
              <w:jc w:val="center"/>
            </w:pPr>
            <w:r>
              <w:t xml:space="preserve">0,18</w:t>
            </w:r>
          </w:p>
        </w:tc>
      </w:tr>
      <w:tr>
        <w:trPr/>
        <w:tc>
          <w:tcPr>
            <w:tcW w:w="2500" w:type="pct"/>
            <w:vAlign w:val="center"/>
          </w:tcPr>
          <w:p>
            <w:pPr>
              <w:keepNext/>
              <w:jc w:val="center"/>
            </w:pPr>
            <w:r>
              <w:t xml:space="preserve">4.3.1.</w:t>
            </w:r>
          </w:p>
        </w:tc>
        <w:tc>
          <w:tcPr>
            <w:tcW w:w="2500" w:type="pct"/>
            <w:vAlign w:val="center"/>
          </w:tcPr>
          <w:p>
            <w:pPr>
              <w:keepNext/>
              <w:jc w:val="center"/>
            </w:pPr>
            <w:r>
              <w:t xml:space="preserve">56,48</w:t>
            </w:r>
          </w:p>
        </w:tc>
      </w:tr>
      <w:tr>
        <w:trPr/>
        <w:tc>
          <w:tcPr>
            <w:tcW w:w="2500" w:type="pct"/>
            <w:vAlign w:val="center"/>
          </w:tcPr>
          <w:p>
            <w:pPr>
              <w:keepNext/>
              <w:jc w:val="center"/>
            </w:pPr>
            <w:r>
              <w:t xml:space="preserve">5.2.2.</w:t>
            </w:r>
          </w:p>
        </w:tc>
        <w:tc>
          <w:tcPr>
            <w:tcW w:w="2500" w:type="pct"/>
            <w:vAlign w:val="center"/>
          </w:tcPr>
          <w:p>
            <w:pPr>
              <w:keepNext/>
              <w:jc w:val="center"/>
            </w:pPr>
            <w:r>
              <w:t xml:space="preserve">456,71</w:t>
            </w:r>
          </w:p>
        </w:tc>
      </w:tr>
      <w:tr>
        <w:trPr/>
        <w:tc>
          <w:tcPr>
            <w:tcW w:w="2500" w:type="pct"/>
            <w:vAlign w:val="center"/>
          </w:tcPr>
          <w:p>
            <w:pPr>
              <w:keepNext/>
              <w:jc w:val="center"/>
            </w:pPr>
            <w:r>
              <w:t xml:space="preserve">5.2.3.</w:t>
            </w:r>
          </w:p>
        </w:tc>
        <w:tc>
          <w:tcPr>
            <w:tcW w:w="2500" w:type="pct"/>
            <w:vAlign w:val="center"/>
          </w:tcPr>
          <w:p>
            <w:pPr>
              <w:keepNext/>
              <w:jc w:val="center"/>
            </w:pPr>
            <w:r>
              <w:t xml:space="preserve">71.342,40</w:t>
            </w:r>
          </w:p>
        </w:tc>
      </w:tr>
      <w:tr>
        <w:trPr/>
        <w:tc>
          <w:tcPr>
            <w:tcW w:w="2500" w:type="pct"/>
            <w:vAlign w:val="center"/>
          </w:tcPr>
          <w:p>
            <w:pPr>
              <w:keepNext/>
              <w:jc w:val="center"/>
            </w:pPr>
            <w:r>
              <w:t xml:space="preserve">6.1.1.</w:t>
            </w:r>
          </w:p>
        </w:tc>
        <w:tc>
          <w:tcPr>
            <w:tcW w:w="2500" w:type="pct"/>
            <w:vAlign w:val="center"/>
          </w:tcPr>
          <w:p>
            <w:pPr>
              <w:keepNext/>
              <w:jc w:val="center"/>
            </w:pPr>
            <w:r>
              <w:t xml:space="preserve">11.993,07</w:t>
            </w:r>
          </w:p>
        </w:tc>
      </w:tr>
      <w:tr>
        <w:trPr/>
        <w:tc>
          <w:tcPr>
            <w:tcW w:w="2500" w:type="pct"/>
            <w:vAlign w:val="center"/>
          </w:tcPr>
          <w:p>
            <w:pPr>
              <w:keepNext/>
              <w:jc w:val="center"/>
            </w:pPr>
            <w:r>
              <w:t xml:space="preserve">Ukupno </w:t>
            </w:r>
          </w:p>
        </w:tc>
        <w:tc>
          <w:tcPr>
            <w:tcW w:w="2500" w:type="pct"/>
            <w:vAlign w:val="center"/>
          </w:tcPr>
          <w:p>
            <w:pPr>
              <w:keepNext/>
              <w:jc w:val="center"/>
            </w:pPr>
            <w:r>
              <w:t xml:space="preserve">83.848,84</w:t>
            </w:r>
          </w:p>
        </w:tc>
      </w:tr>
    </w:tbl>
    <w:p>
      <w:r>
        <w:t xml:space="preserve"> </w:t>
      </w:r>
    </w:p>
    <w:p>
      <w:r>
        <w:t xml:space="preserve">Iznos knjižen na izvor 6.1.1. ije ispravan se po zaključenju poslovne godine izvršiti ispravak knjiženja i to na sljedeći način:</w:t>
      </w:r>
    </w:p>
    <w:tbl>
      <w:tblPr>
        <w:tblStyle w:val="TableGrid"/>
        <w:tblW w:w="5000" w:type="pct"/>
      </w:tblPr>
      <w:tblGrid>
        <w:gridCol w:w="4807"/>
        <w:gridCol w:w="4807"/>
      </w:tblGrid>
      <w:tr>
        <w:trPr>
          <w:trHeight w:val="542" w:hRule="atLeast"/>
        </w:trPr>
        <w:tc>
          <w:tcPr>
            <w:tcW w:w="2497" w:type="pct"/>
            <w:vAlign w:val="center"/>
          </w:tcPr>
          <w:p>
            <w:pPr>
              <w:keepNext/>
              <w:jc w:val="center"/>
            </w:pPr>
            <w:r>
              <w:t xml:space="preserve">Izvor </w:t>
            </w:r>
          </w:p>
        </w:tc>
        <w:tc>
          <w:tcPr>
            <w:tcW w:w="2497" w:type="pct"/>
            <w:vAlign w:val="center"/>
          </w:tcPr>
          <w:p>
            <w:pPr>
              <w:keepNext/>
              <w:jc w:val="center"/>
            </w:pPr>
            <w:r>
              <w:t xml:space="preserve">iznos (eur) </w:t>
            </w:r>
          </w:p>
        </w:tc>
      </w:tr>
      <w:tr>
        <w:trPr>
          <w:trHeight w:val="542" w:hRule="atLeast"/>
        </w:trPr>
        <w:tc>
          <w:tcPr>
            <w:tcW w:w="2497" w:type="pct"/>
            <w:vAlign w:val="center"/>
          </w:tcPr>
          <w:p>
            <w:pPr>
              <w:keepNext/>
              <w:jc w:val="center"/>
            </w:pPr>
            <w:r>
              <w:t xml:space="preserve">4.3.1.</w:t>
            </w:r>
          </w:p>
        </w:tc>
        <w:tc>
          <w:tcPr>
            <w:tcW w:w="2497" w:type="pct"/>
            <w:vAlign w:val="center"/>
          </w:tcPr>
          <w:p>
            <w:pPr>
              <w:keepNext/>
              <w:jc w:val="center"/>
            </w:pPr>
            <w:r>
              <w:t xml:space="preserve">4.020,57</w:t>
            </w:r>
          </w:p>
        </w:tc>
      </w:tr>
      <w:tr>
        <w:trPr>
          <w:trHeight w:val="542" w:hRule="atLeast"/>
        </w:trPr>
        <w:tc>
          <w:tcPr>
            <w:tcW w:w="2497" w:type="pct"/>
            <w:vAlign w:val="center"/>
          </w:tcPr>
          <w:p>
            <w:pPr>
              <w:keepNext/>
              <w:jc w:val="center"/>
            </w:pPr>
            <w:r>
              <w:t xml:space="preserve">5.2.2.</w:t>
            </w:r>
          </w:p>
        </w:tc>
        <w:tc>
          <w:tcPr>
            <w:tcW w:w="2497" w:type="pct"/>
            <w:vAlign w:val="center"/>
          </w:tcPr>
          <w:p>
            <w:pPr>
              <w:keepNext/>
              <w:jc w:val="center"/>
            </w:pPr>
            <w:r>
              <w:t xml:space="preserve">2.328,83</w:t>
            </w:r>
          </w:p>
        </w:tc>
      </w:tr>
      <w:tr>
        <w:trPr>
          <w:trHeight w:val="542" w:hRule="atLeast"/>
        </w:trPr>
        <w:tc>
          <w:tcPr>
            <w:tcW w:w="2497" w:type="pct"/>
            <w:vAlign w:val="center"/>
          </w:tcPr>
          <w:p>
            <w:pPr>
              <w:keepNext/>
              <w:jc w:val="center"/>
            </w:pPr>
            <w:r>
              <w:t xml:space="preserve">1.1.</w:t>
            </w:r>
          </w:p>
        </w:tc>
        <w:tc>
          <w:tcPr>
            <w:tcW w:w="2497" w:type="pct"/>
            <w:vAlign w:val="center"/>
          </w:tcPr>
          <w:p>
            <w:pPr>
              <w:keepNext/>
              <w:jc w:val="center"/>
            </w:pPr>
            <w:r>
              <w:t xml:space="preserve">1.623,29</w:t>
            </w:r>
          </w:p>
        </w:tc>
      </w:tr>
      <w:tr>
        <w:trPr>
          <w:trHeight w:val="542" w:hRule="atLeast"/>
        </w:trPr>
        <w:tc>
          <w:tcPr>
            <w:tcW w:w="2497" w:type="pct"/>
            <w:vAlign w:val="center"/>
          </w:tcPr>
          <w:p>
            <w:pPr>
              <w:keepNext/>
              <w:jc w:val="center"/>
            </w:pPr>
            <w:r>
              <w:t xml:space="preserve">6.1.1.</w:t>
            </w:r>
          </w:p>
        </w:tc>
        <w:tc>
          <w:tcPr>
            <w:tcW w:w="2497" w:type="pct"/>
            <w:vAlign w:val="center"/>
          </w:tcPr>
          <w:p>
            <w:pPr>
              <w:keepNext/>
              <w:jc w:val="center"/>
            </w:pPr>
            <w:r>
              <w:t xml:space="preserve">4.020,38</w:t>
            </w:r>
          </w:p>
        </w:tc>
      </w:tr>
      <w:tr>
        <w:trPr>
          <w:trHeight w:val="542" w:hRule="atLeast"/>
        </w:trPr>
        <w:tc>
          <w:tcPr>
            <w:tcW w:w="2497" w:type="pct"/>
            <w:vAlign w:val="center"/>
          </w:tcPr>
          <w:p>
            <w:pPr>
              <w:keepNext/>
              <w:jc w:val="center"/>
            </w:pPr>
            <w:r>
              <w:t xml:space="preserve">ukupno </w:t>
            </w:r>
          </w:p>
        </w:tc>
        <w:tc>
          <w:tcPr>
            <w:tcW w:w="2497" w:type="pct"/>
            <w:vAlign w:val="center"/>
          </w:tcPr>
          <w:p>
            <w:pPr>
              <w:keepNext/>
              <w:jc w:val="center"/>
            </w:pPr>
            <w:r>
              <w:t xml:space="preserve">11.993,07</w:t>
            </w:r>
          </w:p>
        </w:tc>
      </w:tr>
    </w:tbl>
    <w:p>
      <w:r>
        <w:t xml:space="preserve"> </w:t>
      </w:r>
    </w:p>
    <w:p>
      <w:r>
        <w:t xml:space="preserve">Namjenski višak u 2025. godine :</w:t>
      </w:r>
    </w:p>
    <w:tbl>
      <w:tblPr>
        <w:tblStyle w:val="TableGrid"/>
        <w:tblW w:w="5000" w:type="pct"/>
      </w:tblPr>
      <w:tblGrid>
        <w:gridCol w:w="4807"/>
        <w:gridCol w:w="4807"/>
      </w:tblGrid>
      <w:tr>
        <w:trPr/>
        <w:tc>
          <w:tcPr>
            <w:tcW w:w="2497" w:type="pct"/>
            <w:vAlign w:val="center"/>
          </w:tcPr>
          <w:p>
            <w:pPr>
              <w:keepNext/>
              <w:jc w:val="center"/>
            </w:pPr>
            <w:r>
              <w:t xml:space="preserve">Izvor </w:t>
            </w:r>
          </w:p>
        </w:tc>
        <w:tc>
          <w:tcPr>
            <w:tcW w:w="2497" w:type="pct"/>
            <w:vAlign w:val="center"/>
          </w:tcPr>
          <w:p>
            <w:pPr>
              <w:keepNext/>
              <w:jc w:val="center"/>
            </w:pPr>
            <w:r>
              <w:t xml:space="preserve">ukupno</w:t>
            </w:r>
          </w:p>
        </w:tc>
      </w:tr>
      <w:tr>
        <w:trPr/>
        <w:tc>
          <w:tcPr>
            <w:tcW w:w="2497" w:type="pct"/>
            <w:vAlign w:val="center"/>
          </w:tcPr>
          <w:p>
            <w:pPr>
              <w:keepNext/>
              <w:jc w:val="center"/>
            </w:pPr>
            <w:r>
              <w:t xml:space="preserve">3.1.1.</w:t>
            </w:r>
          </w:p>
        </w:tc>
        <w:tc>
          <w:tcPr>
            <w:tcW w:w="2497" w:type="pct"/>
            <w:vAlign w:val="center"/>
          </w:tcPr>
          <w:p>
            <w:pPr>
              <w:keepNext/>
              <w:jc w:val="center"/>
            </w:pPr>
            <w:r>
              <w:t xml:space="preserve">0,18</w:t>
            </w:r>
          </w:p>
        </w:tc>
      </w:tr>
      <w:tr>
        <w:trPr/>
        <w:tc>
          <w:tcPr>
            <w:tcW w:w="2497" w:type="pct"/>
            <w:vAlign w:val="center"/>
          </w:tcPr>
          <w:p>
            <w:pPr>
              <w:keepNext/>
              <w:jc w:val="center"/>
            </w:pPr>
            <w:r>
              <w:t xml:space="preserve">4.3.1.</w:t>
            </w:r>
          </w:p>
        </w:tc>
        <w:tc>
          <w:tcPr>
            <w:tcW w:w="2497" w:type="pct"/>
            <w:vAlign w:val="center"/>
          </w:tcPr>
          <w:p>
            <w:pPr>
              <w:keepNext/>
              <w:jc w:val="center"/>
            </w:pPr>
            <w:r>
              <w:t xml:space="preserve">4.203,01</w:t>
            </w:r>
          </w:p>
        </w:tc>
      </w:tr>
      <w:tr>
        <w:trPr/>
        <w:tc>
          <w:tcPr>
            <w:tcW w:w="2497" w:type="pct"/>
            <w:vAlign w:val="center"/>
          </w:tcPr>
          <w:p>
            <w:pPr>
              <w:keepNext/>
              <w:jc w:val="center"/>
            </w:pPr>
            <w:r>
              <w:t xml:space="preserve">5.2.2.</w:t>
            </w:r>
          </w:p>
        </w:tc>
        <w:tc>
          <w:tcPr>
            <w:tcW w:w="2497" w:type="pct"/>
            <w:vAlign w:val="center"/>
          </w:tcPr>
          <w:p>
            <w:pPr>
              <w:keepNext/>
              <w:jc w:val="center"/>
            </w:pPr>
            <w:r>
              <w:t xml:space="preserve">2.400,19</w:t>
            </w:r>
          </w:p>
        </w:tc>
      </w:tr>
      <w:tr>
        <w:trPr/>
        <w:tc>
          <w:tcPr>
            <w:tcW w:w="2497" w:type="pct"/>
            <w:vAlign w:val="center"/>
          </w:tcPr>
          <w:p>
            <w:pPr>
              <w:keepNext/>
              <w:jc w:val="center"/>
            </w:pPr>
            <w:r>
              <w:t xml:space="preserve">1.1.</w:t>
            </w:r>
          </w:p>
        </w:tc>
        <w:tc>
          <w:tcPr>
            <w:tcW w:w="2497" w:type="pct"/>
            <w:vAlign w:val="center"/>
          </w:tcPr>
          <w:p>
            <w:pPr>
              <w:keepNext/>
              <w:jc w:val="center"/>
            </w:pPr>
            <w:r>
              <w:t xml:space="preserve">1.623,10</w:t>
            </w:r>
          </w:p>
        </w:tc>
      </w:tr>
      <w:tr>
        <w:trPr/>
        <w:tc>
          <w:tcPr>
            <w:tcW w:w="2497" w:type="pct"/>
            <w:vAlign w:val="center"/>
          </w:tcPr>
          <w:p>
            <w:pPr>
              <w:keepNext/>
              <w:jc w:val="center"/>
            </w:pPr>
            <w:r>
              <w:t xml:space="preserve">6.1.1</w:t>
            </w:r>
          </w:p>
        </w:tc>
        <w:tc>
          <w:tcPr>
            <w:tcW w:w="2497" w:type="pct"/>
            <w:vAlign w:val="center"/>
          </w:tcPr>
          <w:p>
            <w:pPr>
              <w:keepNext/>
              <w:jc w:val="center"/>
            </w:pPr>
            <w:r>
              <w:t xml:space="preserve">4.020,57</w:t>
            </w:r>
          </w:p>
        </w:tc>
      </w:tr>
      <w:tr>
        <w:trPr/>
        <w:tc>
          <w:tcPr>
            <w:tcW w:w="2497" w:type="pct"/>
            <w:vAlign w:val="center"/>
          </w:tcPr>
          <w:p>
            <w:pPr>
              <w:keepNext/>
              <w:jc w:val="center"/>
            </w:pPr>
            <w:r>
              <w:t xml:space="preserve">ukupno </w:t>
            </w:r>
          </w:p>
        </w:tc>
        <w:tc>
          <w:tcPr>
            <w:tcW w:w="2497" w:type="pct"/>
            <w:vAlign w:val="center"/>
          </w:tcPr>
          <w:p>
            <w:pPr>
              <w:keepNext/>
              <w:jc w:val="center"/>
            </w:pPr>
            <w:r>
              <w:t xml:space="preserve">12.247,05</w:t>
            </w:r>
          </w:p>
        </w:tc>
      </w:tr>
    </w:tbl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1.155,08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108,7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ugradnju portafona koji se morao ugraditi temeljem propisanih mjera sigurnosti u školama sukladno Protokolu o kontroli ulaska i izlaska u školskim ustanovama (Ministarstvo znanosti, obrazovanja i mladih od 2. veljače 2025. godine)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9.233,13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1.561,50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16,9</w:t>
            </w:r>
          </w:p>
        </w:tc>
      </w:tr>
    </w:tbl>
    <w:p>
      <w:pPr>
        <w:spacing w:before="0" w:after="0"/>
      </w:pPr>
    </w:p>
    <w:p>
      <w:r>
        <w:t xml:space="preserve">nabava informatičke opreme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Knjige, umjetnička djela i ostale izložbene vrijednosti (šifre 4241 do 4244)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1.046,77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1.074,27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102,6</w:t>
            </w:r>
          </w:p>
        </w:tc>
      </w:tr>
    </w:tbl>
    <w:p>
      <w:pPr>
        <w:spacing w:before="0" w:after="0"/>
      </w:pPr>
    </w:p>
    <w:p>
      <w:r>
        <w:t xml:space="preserve">lektira i besplatni udžbenici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Nematerijalna proizvedena imovina (šifre 4261 do 4264)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druga faza implementacije računovodstvenog programa SPI, tvrtke Libusoft Cicom d.o.o. Zagreb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11.434,98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5.444,40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47,6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Manjak prihoda od nefinancijske imovine (završna faza implementacije programa Libusoft , nabavka knjiga/lektire i udžbenika, portafon, kupnja računalne opreme ) nastao je iz razloga jer Škola nema prihode od nefinancijske imovine ( skupina 7 ) već je trošak koji se odnosi na nefinancijsku imovinu financirala prihodom od Osnivača, Državnog proračuna -knjige i lektire (skupina 6). Manjak prihoda od nefinancijske imovine pokriva se viškom prihoda od redovnog poslovanja te se odobrava manjak prihoda od nefinancijske imovine na računu 92222, a za isti iznos</w:t>
      </w:r>
    </w:p>
    <w:p>
      <w:r>
        <w:t xml:space="preserve">zadužuje se višak prihoda poslovanja na računu 92211 .</w:t>
      </w:r>
    </w:p>
    <w:p>
      <w:r>
        <w:t xml:space="preserve">Ova korekcija ne mijenja rezultat poslovanja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184.050,01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Stavljajući u odnos ukupne prihode i primitke te rashode i izdatke za tekuće razdoblje siječanj-prosinac 2025. godine (Y005) možemo zaključiti da je ostvaren manjak prihoda i primitaka u iznosu 184.538,76 EUR. Primjenom novog Pravilnika o proračunskom računovodstvu NN 15/23) i Računskom planu (NN 154/24) ukinuta je podskupina 193 Kontinuirani rashodi budućih razdoblja s 1.1.2025. godine. Zbog promjene tehnike knjiženja u godišnjem obračun knjiženo je trinaest rashoda za plaću što ima negativan utjecaj na rezultat na kraju izvještajnog razdoblja. Iskazan je manjak prihoda nad rashodima u već navedenom iznosu.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184.426,01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291.147,60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157,9</w:t>
            </w:r>
          </w:p>
        </w:tc>
      </w:tr>
    </w:tbl>
    <w:p>
      <w:pPr>
        <w:spacing w:before="0" w:after="0"/>
      </w:pPr>
    </w:p>
    <w:p>
      <w:r>
        <w:t xml:space="preserve">U izvještajanom razdoblju bilježimo značajno povećanje vrijednosti imovine i prije svega u dijelu financijske imovine pod utjecajem značajanih metodoloških promjena. Radi se primjeni novog načina knjiženja potraživanjima po ugovorima Erasmus+ programa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3.204,60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Radi se o potraživanjima prema HZZO-u za bolovanja duža od 42 dana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iz inozemstva i od subjekata unutar općeg proračuna (šifre 1631 do 1638)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190.377,29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Bilježimo značajno povećanje financijske imovine i to pod utjecajem metodoloških promjena. Radi se o potraživanjima po ugovorima Erasmus+ programa br. 2024-1-HR01-KA12-VET-000222492, OID: E10172236 i Erasmus+ programa br. 2025-1-HR-01-K121-VET-000314153, OID: E10172236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I VLASTITI IZVORI (šifre 2+9)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184.426,01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291.147,60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157,9</w:t>
            </w:r>
          </w:p>
        </w:tc>
      </w:tr>
    </w:tbl>
    <w:p>
      <w:pPr>
        <w:spacing w:before="0" w:after="0"/>
      </w:pPr>
    </w:p>
    <w:p>
      <w:r>
        <w:t xml:space="preserve">Rast obveza u odnosu na 2024. godinu u izvještajnom razdoblju je pod utjecaj rasta plaća i materijalnih prava zaposlenika, ali i primjene nove metodologije knjiženja obveza za primljene predujmove za Erasmus + projekte na kontu 27.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1.015.504,80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1.316.738,00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129,7</w:t>
            </w:r>
          </w:p>
        </w:tc>
      </w:tr>
    </w:tbl>
    <w:p>
      <w:pPr>
        <w:spacing w:before="0" w:after="0"/>
      </w:pPr>
    </w:p>
    <w:p>
      <w:r>
        <w:t xml:space="preserve">Šifra 0912 – Srednjoškolsko obrazovanje</w:t>
      </w:r>
    </w:p>
    <w:p>
      <w:pPr>
        <w:jc w:val="both"/>
      </w:pPr>
      <w:r>
        <w:t xml:space="preserve">-          Program srednjoškolskog obrazovanja predstavlja ukupne troškove te u 2025. godini iznosi 1.316.738,00 EUR što predstavlja povećanje u odnosu na 2024.godinu za 29,7% zbog porasta tržišnih cijena robe i usluga te porasta plaća i materijalnih prava djelatnika.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12.603,83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·         Pozicija P002 – Smanjenje neproizvodne imovine u 2025. godini u iznosu od 12.603,83 eura odnosi se na godišnji ispravak vrijednosti.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248.458,35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predmetnom obrascu bilježimo značajne promjene u metodologiji iskazivanja obveza, primjerice, riječ je o EU sredstvima konkretno Erasmus + kojeg od 2025. godine knjižimo preko konta 27 obveze za predujmove. Navedeno je značajno utjecali i na ukupni iznos iskazanih obveza na šiframa V009 i ND27. Riječ je o rastu od 105,99 % nedospjelih obveza na kraju izvještajnog razdoblja u odnosu na 2024.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2.023,99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Dospjele obveze za čine dio materijalni troškova čije je dospijeće bilo u tijekom mjeseca prosinca a plaćanje je provedeno u siječnju 2026. godine i to za uredski materijal, sredstva za čišćenje, godišnje pretplate na stručne časopise.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246.434,36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dan 31.prosinca 2025. Škola je imala dopsjelih obveza u iznosu od 2.023,99 € s rokom dospjeća u okoviru 30 dana. </w:t>
      </w:r>
    </w:p>
    <w:p>
      <w:pPr>
        <w:jc w:val="both"/>
      </w:pPr>
      <w:r>
        <w:t xml:space="preserve">Pozicija V010 – nedospjele međusobne obveze proračunskih korisnika </w:t>
      </w:r>
      <w:r>
        <w:br/>
      </w:r>
      <w:r>
        <w:t xml:space="preserve">Pozicija ND23 i ND24 – u nedospjele obveze uključene su obveze za zaposlene za plaću za prosinac 2025. i ostale obveze koje dospijevaju u siječnju 2026.</w:t>
      </w:r>
      <w:r>
        <w:br/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Na temelju Uputa za računovodstveno evidentiranje sredstva Europske unije KLASA:910-04/25-01/8, URBROJ: 513-05-05-25-2 iz svibnja 2025. godine, te Dopuna Uputa za računovodstveno evidentiranje sredstva Europske unije u poglavlju 3.3.3. KLASA: 910-04/25-01/8, URBROJ: 513-17-01-26-6 od 15. siječna 2026. Provedena je promjena u knjigovodstvenim evidencijama potraživanja i obračunatih prihoda. Prihodi s konta 638, knjiženi su u korist konta 275210 Obveza za EU predujmove dane iz državnog proračuna – Erasmus +. Na ovaj način želi se postići realnije iskazivanje rezultata poslovanja i neutralizirati primljena sredstva od projekta na rezultat poslovanja. </w:t>
      </w:r>
    </w:p>
    <w:p>
      <w:r>
        <w:t xml:space="preserve">Za ugovor 2024-1-HR01-KA122-VET-000222492  predano je završno izvješće u mjesecu prosincu, primljena je pozitivna ocjena u siječnju 2026. godine. Za ugovor 2025-1-HR-01-K121-VET-000314153 u mjesecu lipnju 2025. godine primljen je predujam i projekt je u tijeku. Za oba ugvora primjenjena je nova metodoligija knjižena ovisno o fazi njegove pojedine provedbe. 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068f4d8e824e56" /></Relationships>
</file>